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0D1F3" w14:textId="2F69915D" w:rsidR="00C1232C" w:rsidRPr="00AD5CCD" w:rsidRDefault="00C1232C" w:rsidP="009B55FB">
      <w:pPr>
        <w:pStyle w:val="Ttulo1"/>
        <w:spacing w:before="0" w:after="0" w:line="360" w:lineRule="auto"/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Hlk165362219"/>
      <w:bookmarkStart w:id="1" w:name="_GoBack"/>
      <w:bookmarkEnd w:id="1"/>
      <w:r w:rsidRPr="00AD5CCD">
        <w:rPr>
          <w:rFonts w:asciiTheme="minorHAnsi" w:hAnsiTheme="minorHAnsi" w:cs="Times New Roman"/>
          <w:b/>
          <w:sz w:val="22"/>
          <w:szCs w:val="22"/>
        </w:rPr>
        <w:t>GTS APROVADOS</w:t>
      </w:r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2112"/>
        <w:gridCol w:w="4982"/>
        <w:gridCol w:w="3396"/>
      </w:tblGrid>
      <w:tr w:rsidR="00AF4B98" w:rsidRPr="00AD5CCD" w14:paraId="5F1EA1CE" w14:textId="77777777" w:rsidTr="00AF4B98">
        <w:tc>
          <w:tcPr>
            <w:tcW w:w="2095" w:type="dxa"/>
            <w:shd w:val="clear" w:color="auto" w:fill="215E99" w:themeFill="text2" w:themeFillTint="BF"/>
            <w:vAlign w:val="center"/>
          </w:tcPr>
          <w:p w14:paraId="72551EBC" w14:textId="0F95138B" w:rsidR="00AF4B98" w:rsidRPr="00AD5CCD" w:rsidRDefault="003556DF" w:rsidP="00C66BFA">
            <w:pPr>
              <w:pStyle w:val="Ttulo1"/>
              <w:spacing w:before="0" w:after="0"/>
              <w:jc w:val="center"/>
              <w:outlineLvl w:val="0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EIXO</w:t>
            </w:r>
          </w:p>
        </w:tc>
        <w:tc>
          <w:tcPr>
            <w:tcW w:w="4993" w:type="dxa"/>
            <w:shd w:val="clear" w:color="auto" w:fill="215E99" w:themeFill="text2" w:themeFillTint="BF"/>
            <w:vAlign w:val="center"/>
          </w:tcPr>
          <w:p w14:paraId="46890E01" w14:textId="6B2C1938" w:rsidR="00AF4B98" w:rsidRPr="00AD5CCD" w:rsidRDefault="003556DF" w:rsidP="00C66BFA">
            <w:pPr>
              <w:pStyle w:val="Ttulo1"/>
              <w:spacing w:before="0" w:after="0"/>
              <w:jc w:val="center"/>
              <w:outlineLvl w:val="0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GT - TEMÁTICA</w:t>
            </w:r>
          </w:p>
        </w:tc>
        <w:tc>
          <w:tcPr>
            <w:tcW w:w="3402" w:type="dxa"/>
            <w:shd w:val="clear" w:color="auto" w:fill="215E99" w:themeFill="text2" w:themeFillTint="BF"/>
            <w:vAlign w:val="center"/>
          </w:tcPr>
          <w:p w14:paraId="12EB1202" w14:textId="75E2CEEC" w:rsidR="00AF4B98" w:rsidRPr="00AD5CCD" w:rsidRDefault="003556DF" w:rsidP="00C66BFA">
            <w:pPr>
              <w:pStyle w:val="Ttulo1"/>
              <w:spacing w:before="0" w:after="0"/>
              <w:jc w:val="center"/>
              <w:outlineLvl w:val="0"/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b/>
                <w:bCs/>
                <w:color w:val="auto"/>
                <w:sz w:val="22"/>
                <w:szCs w:val="22"/>
              </w:rPr>
              <w:t>COORDENAÇÃO</w:t>
            </w:r>
          </w:p>
        </w:tc>
      </w:tr>
      <w:tr w:rsidR="00AF4B98" w:rsidRPr="00AD5CCD" w14:paraId="7A471062" w14:textId="77777777" w:rsidTr="00AF4B98">
        <w:tc>
          <w:tcPr>
            <w:tcW w:w="2095" w:type="dxa"/>
          </w:tcPr>
          <w:p w14:paraId="353235D3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Alfabetização e Letramento</w:t>
            </w:r>
          </w:p>
        </w:tc>
        <w:tc>
          <w:tcPr>
            <w:tcW w:w="4993" w:type="dxa"/>
          </w:tcPr>
          <w:p w14:paraId="6247BF42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(A importância do) letramento matemático e suas variantes na construção de uma sociedade democrática</w:t>
            </w:r>
          </w:p>
        </w:tc>
        <w:tc>
          <w:tcPr>
            <w:tcW w:w="3402" w:type="dxa"/>
          </w:tcPr>
          <w:p w14:paraId="75813E7C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Luci Teresinha M. dos S. Bernardi, Bruna Larissa Cecco</w:t>
            </w:r>
          </w:p>
        </w:tc>
      </w:tr>
      <w:tr w:rsidR="00AF4B98" w:rsidRPr="00AD5CCD" w14:paraId="4C1D5BE4" w14:textId="77777777" w:rsidTr="00AF4B98">
        <w:tc>
          <w:tcPr>
            <w:tcW w:w="2095" w:type="dxa"/>
          </w:tcPr>
          <w:p w14:paraId="134C6AD4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eastAsia="Arial" w:hAnsiTheme="minorHAnsi" w:cs="Times New Roman"/>
                <w:color w:val="auto"/>
                <w:sz w:val="22"/>
                <w:szCs w:val="22"/>
              </w:rPr>
              <w:t>Avaliação</w:t>
            </w:r>
          </w:p>
        </w:tc>
        <w:tc>
          <w:tcPr>
            <w:tcW w:w="4993" w:type="dxa"/>
          </w:tcPr>
          <w:p w14:paraId="75AAF7CA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Avaliação de políticas educacionais</w:t>
            </w:r>
          </w:p>
        </w:tc>
        <w:tc>
          <w:tcPr>
            <w:tcW w:w="3402" w:type="dxa"/>
          </w:tcPr>
          <w:p w14:paraId="3AF10A1A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Edite Maria Sudbrack, Dora Maria Ramos Fonseca</w:t>
            </w:r>
          </w:p>
        </w:tc>
      </w:tr>
      <w:tr w:rsidR="00AF4B98" w:rsidRPr="00AD5CCD" w14:paraId="5ED887BA" w14:textId="77777777" w:rsidTr="00AF4B98">
        <w:tc>
          <w:tcPr>
            <w:tcW w:w="2095" w:type="dxa"/>
            <w:vMerge w:val="restart"/>
            <w:vAlign w:val="center"/>
          </w:tcPr>
          <w:p w14:paraId="1D5B0881" w14:textId="1FFB642D" w:rsidR="00AF4B98" w:rsidRPr="00AD5CCD" w:rsidRDefault="00AF4B98" w:rsidP="00AF4B98">
            <w:pPr>
              <w:pStyle w:val="Ttulo1"/>
              <w:spacing w:before="0" w:after="0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Cidades que educam e transformam</w:t>
            </w:r>
          </w:p>
        </w:tc>
        <w:tc>
          <w:tcPr>
            <w:tcW w:w="4993" w:type="dxa"/>
          </w:tcPr>
          <w:p w14:paraId="48620C10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A perspectiva formativa na cidade que Educa e Transforma</w:t>
            </w:r>
          </w:p>
        </w:tc>
        <w:tc>
          <w:tcPr>
            <w:tcW w:w="3402" w:type="dxa"/>
          </w:tcPr>
          <w:p w14:paraId="74759B6D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Elisabete Cerutti, Marili Moreira da Silva Vieira</w:t>
            </w:r>
          </w:p>
        </w:tc>
      </w:tr>
      <w:tr w:rsidR="00AF4B98" w:rsidRPr="00AD5CCD" w14:paraId="69273A17" w14:textId="77777777" w:rsidTr="00AF4B98">
        <w:tc>
          <w:tcPr>
            <w:tcW w:w="2095" w:type="dxa"/>
            <w:vMerge/>
          </w:tcPr>
          <w:p w14:paraId="33DBD066" w14:textId="69675C35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993" w:type="dxa"/>
          </w:tcPr>
          <w:p w14:paraId="12D6AD21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pt-BR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Brincar é coisa séria”: potências para pensar o território da cidade</w:t>
            </w:r>
          </w:p>
        </w:tc>
        <w:tc>
          <w:tcPr>
            <w:tcW w:w="3402" w:type="dxa"/>
          </w:tcPr>
          <w:p w14:paraId="50BC76D2" w14:textId="77777777" w:rsidR="00AF4B98" w:rsidRPr="00AD5CCD" w:rsidRDefault="00AF4B98" w:rsidP="00C66BFA">
            <w:pPr>
              <w:rPr>
                <w:rFonts w:asciiTheme="minorHAnsi" w:hAnsiTheme="minorHAnsi" w:cs="Times New Roman"/>
                <w:lang w:val="es-MX"/>
              </w:rPr>
            </w:pPr>
            <w:proofErr w:type="spellStart"/>
            <w:r w:rsidRPr="00AD5CCD">
              <w:rPr>
                <w:rFonts w:asciiTheme="minorHAnsi" w:hAnsiTheme="minorHAnsi" w:cs="Times New Roman"/>
                <w:bCs/>
                <w:lang w:val="es-MX"/>
              </w:rPr>
              <w:t>Juliane</w:t>
            </w:r>
            <w:proofErr w:type="spellEnd"/>
            <w:r w:rsidRPr="00AD5CCD">
              <w:rPr>
                <w:rFonts w:asciiTheme="minorHAnsi" w:hAnsiTheme="minorHAnsi" w:cs="Times New Roman"/>
                <w:bCs/>
                <w:lang w:val="es-MX"/>
              </w:rPr>
              <w:t xml:space="preserve"> Claudia </w:t>
            </w:r>
            <w:proofErr w:type="spellStart"/>
            <w:r w:rsidRPr="00AD5CCD">
              <w:rPr>
                <w:rFonts w:asciiTheme="minorHAnsi" w:hAnsiTheme="minorHAnsi" w:cs="Times New Roman"/>
                <w:bCs/>
                <w:lang w:val="es-MX"/>
              </w:rPr>
              <w:t>Piovesan</w:t>
            </w:r>
            <w:proofErr w:type="spellEnd"/>
            <w:r w:rsidRPr="00AD5CCD">
              <w:rPr>
                <w:rFonts w:asciiTheme="minorHAnsi" w:hAnsiTheme="minorHAnsi" w:cs="Times New Roman"/>
                <w:bCs/>
                <w:lang w:val="es-MX"/>
              </w:rPr>
              <w:t>, Susana Schwartz Basso</w:t>
            </w:r>
          </w:p>
        </w:tc>
      </w:tr>
      <w:tr w:rsidR="006C7EB0" w:rsidRPr="00AD5CCD" w14:paraId="06AE6004" w14:textId="77777777" w:rsidTr="00AF4B98">
        <w:tc>
          <w:tcPr>
            <w:tcW w:w="2095" w:type="dxa"/>
            <w:vMerge w:val="restart"/>
          </w:tcPr>
          <w:p w14:paraId="20EC8276" w14:textId="77777777" w:rsidR="006C7EB0" w:rsidRPr="00AD5CCD" w:rsidRDefault="006C7EB0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Diversidade, educação e inclusão</w:t>
            </w:r>
          </w:p>
        </w:tc>
        <w:tc>
          <w:tcPr>
            <w:tcW w:w="4993" w:type="dxa"/>
          </w:tcPr>
          <w:p w14:paraId="2C55B73E" w14:textId="77777777" w:rsidR="006C7EB0" w:rsidRPr="00AD5CCD" w:rsidRDefault="006C7EB0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Extensão Universitária e Educação em Direitos Humanos: relatos de experiências – Coordenação</w:t>
            </w:r>
          </w:p>
        </w:tc>
        <w:tc>
          <w:tcPr>
            <w:tcW w:w="3402" w:type="dxa"/>
          </w:tcPr>
          <w:p w14:paraId="6F639F36" w14:textId="77777777" w:rsidR="006C7EB0" w:rsidRPr="00AD5CCD" w:rsidRDefault="006C7EB0" w:rsidP="00C66BFA">
            <w:pPr>
              <w:rPr>
                <w:rFonts w:asciiTheme="minorHAnsi" w:hAnsiTheme="minorHAnsi" w:cs="Times New Roman"/>
                <w:bCs/>
              </w:rPr>
            </w:pPr>
            <w:r w:rsidRPr="00AD5CCD">
              <w:rPr>
                <w:rFonts w:asciiTheme="minorHAnsi" w:hAnsiTheme="minorHAnsi" w:cs="Times New Roman"/>
                <w:bCs/>
              </w:rPr>
              <w:t xml:space="preserve">Cilene Margarete Pereira, </w:t>
            </w:r>
          </w:p>
          <w:p w14:paraId="5BDFC4B7" w14:textId="77777777" w:rsidR="006C7EB0" w:rsidRPr="00AD5CCD" w:rsidRDefault="006C7EB0" w:rsidP="00C66BFA">
            <w:pPr>
              <w:jc w:val="both"/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  <w:bCs/>
              </w:rPr>
              <w:t>Elisa Zwick</w:t>
            </w:r>
          </w:p>
          <w:p w14:paraId="328A821D" w14:textId="77777777" w:rsidR="006C7EB0" w:rsidRPr="00AD5CCD" w:rsidRDefault="006C7EB0" w:rsidP="00C66BFA">
            <w:pPr>
              <w:rPr>
                <w:rFonts w:asciiTheme="minorHAnsi" w:hAnsiTheme="minorHAnsi" w:cs="Times New Roman"/>
                <w:bCs/>
                <w:lang w:val="pt-BR"/>
              </w:rPr>
            </w:pPr>
          </w:p>
        </w:tc>
      </w:tr>
      <w:tr w:rsidR="006C7EB0" w:rsidRPr="00AD5CCD" w14:paraId="698386DE" w14:textId="77777777" w:rsidTr="00AF4B98">
        <w:tc>
          <w:tcPr>
            <w:tcW w:w="2095" w:type="dxa"/>
            <w:vMerge/>
          </w:tcPr>
          <w:p w14:paraId="138E570B" w14:textId="77777777" w:rsidR="006C7EB0" w:rsidRPr="00AD5CCD" w:rsidRDefault="006C7EB0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993" w:type="dxa"/>
          </w:tcPr>
          <w:p w14:paraId="56AE022F" w14:textId="5D91683B" w:rsidR="006C7EB0" w:rsidRPr="00AD5CCD" w:rsidRDefault="006C7EB0" w:rsidP="006C7EB0">
            <w:pPr>
              <w:jc w:val="both"/>
              <w:rPr>
                <w:rFonts w:asciiTheme="minorHAnsi" w:hAnsiTheme="minorHAnsi" w:cs="Arial"/>
                <w:b/>
                <w:bCs/>
              </w:rPr>
            </w:pPr>
            <w:r w:rsidRPr="00AD5CCD">
              <w:rPr>
                <w:rFonts w:asciiTheme="minorHAnsi" w:hAnsiTheme="minorHAnsi" w:cs="Arial"/>
                <w:b/>
                <w:bCs/>
              </w:rPr>
              <w:t>Inclusão das minorias na educação básica: limites e possibilidades</w:t>
            </w:r>
          </w:p>
        </w:tc>
        <w:tc>
          <w:tcPr>
            <w:tcW w:w="3402" w:type="dxa"/>
          </w:tcPr>
          <w:p w14:paraId="18A49A62" w14:textId="77777777" w:rsidR="006C7EB0" w:rsidRPr="00AD5CCD" w:rsidRDefault="006C7EB0" w:rsidP="006C7EB0">
            <w:pPr>
              <w:jc w:val="both"/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>Eliane Cadoná</w:t>
            </w:r>
          </w:p>
          <w:p w14:paraId="75D6B577" w14:textId="7DC37358" w:rsidR="006C7EB0" w:rsidRPr="00AD5CCD" w:rsidRDefault="006C7EB0" w:rsidP="006C7EB0">
            <w:pPr>
              <w:jc w:val="both"/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 xml:space="preserve">Camila Aguilar Busatta </w:t>
            </w:r>
          </w:p>
          <w:p w14:paraId="48FC9FF3" w14:textId="729F1FBC" w:rsidR="006C7EB0" w:rsidRPr="00AD5CCD" w:rsidRDefault="006C7EB0" w:rsidP="006C7EB0">
            <w:pPr>
              <w:jc w:val="both"/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 xml:space="preserve">Gisele Louro Peres </w:t>
            </w:r>
          </w:p>
          <w:p w14:paraId="6C969FF6" w14:textId="77777777" w:rsidR="006C7EB0" w:rsidRPr="00AD5CCD" w:rsidRDefault="006C7EB0" w:rsidP="00C66BFA">
            <w:pPr>
              <w:rPr>
                <w:rFonts w:asciiTheme="minorHAnsi" w:hAnsiTheme="minorHAnsi" w:cs="Times New Roman"/>
                <w:bCs/>
              </w:rPr>
            </w:pPr>
          </w:p>
        </w:tc>
      </w:tr>
      <w:tr w:rsidR="00AF4B98" w:rsidRPr="00AD5CCD" w14:paraId="38AA9931" w14:textId="77777777" w:rsidTr="00AF4B98">
        <w:tc>
          <w:tcPr>
            <w:tcW w:w="2095" w:type="dxa"/>
          </w:tcPr>
          <w:p w14:paraId="6AA625E2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Educação e Tecnologias</w:t>
            </w:r>
          </w:p>
        </w:tc>
        <w:tc>
          <w:tcPr>
            <w:tcW w:w="4993" w:type="dxa"/>
          </w:tcPr>
          <w:p w14:paraId="0308444B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Educação, Tecnologias e IA: entre links e produções</w:t>
            </w:r>
          </w:p>
        </w:tc>
        <w:tc>
          <w:tcPr>
            <w:tcW w:w="3402" w:type="dxa"/>
          </w:tcPr>
          <w:p w14:paraId="6F30A804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Fernando Battisti, Elisabete Cerutti, Alexandre da Silva</w:t>
            </w:r>
          </w:p>
        </w:tc>
      </w:tr>
      <w:tr w:rsidR="00AF4B98" w:rsidRPr="00AD5CCD" w14:paraId="5E7E4E9C" w14:textId="77777777" w:rsidTr="00AF4B98">
        <w:tc>
          <w:tcPr>
            <w:tcW w:w="2095" w:type="dxa"/>
          </w:tcPr>
          <w:p w14:paraId="03C3C166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eastAsia="Arial" w:hAnsiTheme="minorHAnsi" w:cs="Times New Roman"/>
                <w:color w:val="auto"/>
                <w:sz w:val="22"/>
                <w:szCs w:val="22"/>
              </w:rPr>
              <w:t>Educação Integral e Educação Básica</w:t>
            </w:r>
          </w:p>
        </w:tc>
        <w:tc>
          <w:tcPr>
            <w:tcW w:w="4993" w:type="dxa"/>
          </w:tcPr>
          <w:p w14:paraId="07DF1C4E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Educação integral e a educação básica: Políticas e práticas pedagógicas garantindo aprendizagens e direitos da cidadania</w:t>
            </w:r>
          </w:p>
        </w:tc>
        <w:tc>
          <w:tcPr>
            <w:tcW w:w="3402" w:type="dxa"/>
          </w:tcPr>
          <w:p w14:paraId="154DA34C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i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  <w:t>Jaqueline Moll; Edna Alves Pereira da Silva</w:t>
            </w:r>
          </w:p>
        </w:tc>
      </w:tr>
      <w:tr w:rsidR="00AF4B98" w:rsidRPr="00AD5CCD" w14:paraId="2302CC52" w14:textId="77777777" w:rsidTr="00AF4B98">
        <w:tc>
          <w:tcPr>
            <w:tcW w:w="2095" w:type="dxa"/>
            <w:vMerge w:val="restart"/>
            <w:vAlign w:val="center"/>
          </w:tcPr>
          <w:p w14:paraId="170AD9D5" w14:textId="08F750EB" w:rsidR="00AF4B98" w:rsidRPr="00AD5CCD" w:rsidRDefault="00AF4B98" w:rsidP="00AF4B98">
            <w:pPr>
              <w:pStyle w:val="Ttulo1"/>
              <w:spacing w:before="0" w:after="0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Formação de Professores</w:t>
            </w:r>
          </w:p>
          <w:p w14:paraId="2E9A92C3" w14:textId="335569B2" w:rsidR="00AF4B98" w:rsidRPr="00AD5CCD" w:rsidRDefault="00AF4B98" w:rsidP="00AF4B98">
            <w:pPr>
              <w:pStyle w:val="Ttulo1"/>
              <w:spacing w:before="0" w:after="0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993" w:type="dxa"/>
          </w:tcPr>
          <w:p w14:paraId="7AFCFF61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Formação de professores: políticas e direcionamentos metodológicos</w:t>
            </w:r>
          </w:p>
        </w:tc>
        <w:tc>
          <w:tcPr>
            <w:tcW w:w="3402" w:type="dxa"/>
          </w:tcPr>
          <w:p w14:paraId="56DE2373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Silvia Regina Canan; Ieda Pertuzatti</w:t>
            </w:r>
          </w:p>
        </w:tc>
      </w:tr>
      <w:tr w:rsidR="00AF4B98" w:rsidRPr="00AD5CCD" w14:paraId="6E2D9036" w14:textId="77777777" w:rsidTr="00AF4B98">
        <w:tc>
          <w:tcPr>
            <w:tcW w:w="2095" w:type="dxa"/>
            <w:vMerge/>
          </w:tcPr>
          <w:p w14:paraId="3D651B97" w14:textId="106DF760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993" w:type="dxa"/>
          </w:tcPr>
          <w:p w14:paraId="6AE0335D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Formação do docente de Letras e suas interconexões com demandas profissionais, sociais, tecnológicas e culturais</w:t>
            </w:r>
          </w:p>
        </w:tc>
        <w:tc>
          <w:tcPr>
            <w:tcW w:w="3402" w:type="dxa"/>
          </w:tcPr>
          <w:p w14:paraId="361F69E0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Ana Paula Teixeira Porto, Luana Teixeira Porto, Rosane Cardoso</w:t>
            </w:r>
          </w:p>
        </w:tc>
      </w:tr>
      <w:tr w:rsidR="00AF4B98" w:rsidRPr="00AD5CCD" w14:paraId="0F7A0063" w14:textId="77777777" w:rsidTr="00AF4B98">
        <w:tc>
          <w:tcPr>
            <w:tcW w:w="2095" w:type="dxa"/>
            <w:vMerge/>
          </w:tcPr>
          <w:p w14:paraId="65025FA6" w14:textId="5B8BA985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993" w:type="dxa"/>
          </w:tcPr>
          <w:p w14:paraId="271C6336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Formação docente e aprendizagem significativa: correlações e intersecções</w:t>
            </w:r>
          </w:p>
        </w:tc>
        <w:tc>
          <w:tcPr>
            <w:tcW w:w="3402" w:type="dxa"/>
          </w:tcPr>
          <w:p w14:paraId="0716C46B" w14:textId="77777777" w:rsidR="00AF4B98" w:rsidRPr="00AD5CCD" w:rsidRDefault="00AF4B98" w:rsidP="00C66BFA">
            <w:pPr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>Hildegard Susana Jung, Rute Henrique da Silva Ferreira</w:t>
            </w:r>
          </w:p>
        </w:tc>
      </w:tr>
      <w:tr w:rsidR="00AF4B98" w:rsidRPr="00AD5CCD" w14:paraId="6CA95F52" w14:textId="77777777" w:rsidTr="00AF4B98">
        <w:tc>
          <w:tcPr>
            <w:tcW w:w="2095" w:type="dxa"/>
          </w:tcPr>
          <w:p w14:paraId="566D7C54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Internacionalização</w:t>
            </w:r>
          </w:p>
        </w:tc>
        <w:tc>
          <w:tcPr>
            <w:tcW w:w="4993" w:type="dxa"/>
          </w:tcPr>
          <w:p w14:paraId="41477C5B" w14:textId="77777777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es-MX"/>
              </w:rPr>
            </w:pPr>
            <w:r w:rsidRPr="00AD5CC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  <w:lang w:val="es-MX"/>
              </w:rPr>
              <w:t>La internacionalización de la educación superior en américa latina: debates teóricos, metodológicos, políticos y educacionales</w:t>
            </w:r>
          </w:p>
        </w:tc>
        <w:tc>
          <w:tcPr>
            <w:tcW w:w="3402" w:type="dxa"/>
          </w:tcPr>
          <w:p w14:paraId="6E7A80BA" w14:textId="77777777" w:rsidR="00AF4B98" w:rsidRPr="00AD5CCD" w:rsidRDefault="00AF4B98" w:rsidP="00C66BFA">
            <w:pPr>
              <w:rPr>
                <w:rFonts w:asciiTheme="minorHAnsi" w:hAnsiTheme="minorHAnsi" w:cs="Times New Roman"/>
                <w:lang w:val="es-MX"/>
              </w:rPr>
            </w:pPr>
            <w:r w:rsidRPr="00AD5CCD">
              <w:rPr>
                <w:rFonts w:asciiTheme="minorHAnsi" w:hAnsiTheme="minorHAnsi" w:cs="Times New Roman"/>
                <w:lang w:val="es-MX"/>
              </w:rPr>
              <w:t xml:space="preserve">Pablo Daniel García, </w:t>
            </w:r>
            <w:proofErr w:type="spellStart"/>
            <w:r w:rsidRPr="00AD5CCD">
              <w:rPr>
                <w:rFonts w:asciiTheme="minorHAnsi" w:hAnsiTheme="minorHAnsi" w:cs="Times New Roman"/>
                <w:lang w:val="es-MX"/>
              </w:rPr>
              <w:t>Jaílson</w:t>
            </w:r>
            <w:proofErr w:type="spellEnd"/>
            <w:r w:rsidRPr="00AD5CCD">
              <w:rPr>
                <w:rFonts w:asciiTheme="minorHAnsi" w:hAnsiTheme="minorHAnsi" w:cs="Times New Roman"/>
                <w:lang w:val="es-MX"/>
              </w:rPr>
              <w:t xml:space="preserve"> </w:t>
            </w:r>
            <w:proofErr w:type="spellStart"/>
            <w:r w:rsidRPr="00AD5CCD">
              <w:rPr>
                <w:rFonts w:asciiTheme="minorHAnsi" w:hAnsiTheme="minorHAnsi" w:cs="Times New Roman"/>
                <w:lang w:val="es-MX"/>
              </w:rPr>
              <w:t>Bonatti</w:t>
            </w:r>
            <w:proofErr w:type="spellEnd"/>
          </w:p>
        </w:tc>
      </w:tr>
      <w:tr w:rsidR="00AF4B98" w:rsidRPr="00AD5CCD" w14:paraId="31B1D73A" w14:textId="77777777" w:rsidTr="00AF4B98">
        <w:tc>
          <w:tcPr>
            <w:tcW w:w="2095" w:type="dxa"/>
          </w:tcPr>
          <w:p w14:paraId="38BAC174" w14:textId="10161549" w:rsidR="00AF4B98" w:rsidRPr="00AD5CCD" w:rsidRDefault="00AF4B98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Juventudes</w:t>
            </w:r>
            <w:r w:rsidR="00AD5CCD"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,</w:t>
            </w: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Ensino Médio</w:t>
            </w:r>
            <w:r w:rsidR="00AD5CCD"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e EJA</w:t>
            </w:r>
          </w:p>
        </w:tc>
        <w:tc>
          <w:tcPr>
            <w:tcW w:w="4993" w:type="dxa"/>
          </w:tcPr>
          <w:p w14:paraId="6F9C51EF" w14:textId="0F4E540D" w:rsidR="00AF4B98" w:rsidRPr="00AD5CCD" w:rsidRDefault="0033398D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33398D"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  <w:t>GT – Juventudes e horizontes políticos, científicos e humanistas cenários do Ensino Médio, EJA e Educação Profissional</w:t>
            </w:r>
          </w:p>
        </w:tc>
        <w:tc>
          <w:tcPr>
            <w:tcW w:w="3402" w:type="dxa"/>
          </w:tcPr>
          <w:p w14:paraId="5B003303" w14:textId="77777777" w:rsidR="00AF4B98" w:rsidRPr="00AD5CCD" w:rsidRDefault="00AF4B98" w:rsidP="00C66BFA">
            <w:pPr>
              <w:jc w:val="both"/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>Claudionei Vicente Cassol, Nádia Maria Ferronatto Bernardi, Eliara Maria Bandiera</w:t>
            </w:r>
          </w:p>
        </w:tc>
      </w:tr>
      <w:tr w:rsidR="003556DF" w:rsidRPr="003556DF" w14:paraId="7160713C" w14:textId="77777777" w:rsidTr="00AF4B98">
        <w:tc>
          <w:tcPr>
            <w:tcW w:w="2095" w:type="dxa"/>
          </w:tcPr>
          <w:p w14:paraId="1F3ACFC6" w14:textId="28B2B391" w:rsidR="003556DF" w:rsidRPr="00AD5CCD" w:rsidRDefault="003556DF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Educação Infantil</w:t>
            </w:r>
          </w:p>
        </w:tc>
        <w:tc>
          <w:tcPr>
            <w:tcW w:w="4993" w:type="dxa"/>
          </w:tcPr>
          <w:p w14:paraId="2E4198C7" w14:textId="6B174499" w:rsidR="003556DF" w:rsidRPr="00AD5CCD" w:rsidRDefault="003556DF" w:rsidP="00C66BFA">
            <w:pPr>
              <w:pStyle w:val="Ttulo1"/>
              <w:spacing w:before="0" w:after="0"/>
              <w:jc w:val="both"/>
              <w:outlineLvl w:val="0"/>
              <w:rPr>
                <w:rFonts w:asciiTheme="minorHAnsi" w:hAnsiTheme="minorHAnsi" w:cs="Arial"/>
                <w:b/>
                <w:bCs/>
                <w:color w:val="auto"/>
                <w:sz w:val="22"/>
                <w:szCs w:val="22"/>
              </w:rPr>
            </w:pPr>
            <w:r w:rsidRPr="00AD5CC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As infâncias e a educação infantil em debate</w:t>
            </w:r>
          </w:p>
        </w:tc>
        <w:tc>
          <w:tcPr>
            <w:tcW w:w="3402" w:type="dxa"/>
          </w:tcPr>
          <w:p w14:paraId="71884494" w14:textId="77777777" w:rsidR="003556DF" w:rsidRPr="00AD5CCD" w:rsidRDefault="003556DF" w:rsidP="003556DF">
            <w:pPr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>Jordana Wruck Timm</w:t>
            </w:r>
          </w:p>
          <w:p w14:paraId="258EC676" w14:textId="13BBD10A" w:rsidR="003556DF" w:rsidRPr="00400054" w:rsidRDefault="003556DF" w:rsidP="003556DF">
            <w:pPr>
              <w:rPr>
                <w:rFonts w:asciiTheme="minorHAnsi" w:hAnsiTheme="minorHAnsi" w:cs="Times New Roman"/>
              </w:rPr>
            </w:pPr>
            <w:r w:rsidRPr="00AD5CCD">
              <w:rPr>
                <w:rFonts w:asciiTheme="minorHAnsi" w:hAnsiTheme="minorHAnsi" w:cs="Times New Roman"/>
              </w:rPr>
              <w:t>A</w:t>
            </w:r>
            <w:r w:rsidRPr="00AD5CCD">
              <w:rPr>
                <w:rFonts w:asciiTheme="minorHAnsi" w:eastAsia="Cambria" w:hAnsiTheme="minorHAnsi" w:cs="Times New Roman"/>
              </w:rPr>
              <w:t>dilson Cristiano Habowski</w:t>
            </w:r>
          </w:p>
        </w:tc>
      </w:tr>
    </w:tbl>
    <w:bookmarkEnd w:id="0"/>
    <w:p w14:paraId="0640346F" w14:textId="21E4BD30" w:rsidR="009B55FB" w:rsidRPr="006C7EB0" w:rsidRDefault="009B55FB" w:rsidP="00C66BFA">
      <w:pPr>
        <w:spacing w:line="360" w:lineRule="auto"/>
        <w:rPr>
          <w:rFonts w:ascii="Times New Roman" w:hAnsi="Times New Roman" w:cs="Times New Roman"/>
        </w:rPr>
      </w:pPr>
      <w:r w:rsidRPr="006C7EB0">
        <w:rPr>
          <w:rFonts w:ascii="Times New Roman" w:hAnsi="Times New Roman" w:cs="Times New Roman"/>
          <w:bCs/>
        </w:rPr>
        <w:t xml:space="preserve"> </w:t>
      </w:r>
    </w:p>
    <w:p w14:paraId="581580D5" w14:textId="77777777" w:rsidR="006C7EB0" w:rsidRPr="006C7EB0" w:rsidRDefault="006C7EB0">
      <w:pPr>
        <w:spacing w:line="360" w:lineRule="auto"/>
        <w:rPr>
          <w:rFonts w:ascii="Times New Roman" w:hAnsi="Times New Roman" w:cs="Times New Roman"/>
        </w:rPr>
      </w:pPr>
    </w:p>
    <w:sectPr w:rsidR="006C7EB0" w:rsidRPr="006C7EB0" w:rsidSect="001A2B42">
      <w:headerReference w:type="default" r:id="rId7"/>
      <w:footerReference w:type="default" r:id="rId8"/>
      <w:pgSz w:w="11906" w:h="16838"/>
      <w:pgMar w:top="1135" w:right="1701" w:bottom="244" w:left="1701" w:header="709" w:footer="2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269CB" w14:textId="77777777" w:rsidR="00B33118" w:rsidRDefault="00B33118">
      <w:r>
        <w:separator/>
      </w:r>
    </w:p>
  </w:endnote>
  <w:endnote w:type="continuationSeparator" w:id="0">
    <w:p w14:paraId="7298B96A" w14:textId="77777777" w:rsidR="00B33118" w:rsidRDefault="00B3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5A19B" w14:textId="77777777" w:rsidR="00F7263B" w:rsidRDefault="00A12081">
    <w:pPr>
      <w:pStyle w:val="Rodap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F7A3AB9" wp14:editId="1F2B9F81">
          <wp:simplePos x="0" y="0"/>
          <wp:positionH relativeFrom="column">
            <wp:posOffset>-1099185</wp:posOffset>
          </wp:positionH>
          <wp:positionV relativeFrom="paragraph">
            <wp:posOffset>816610</wp:posOffset>
          </wp:positionV>
          <wp:extent cx="7556500" cy="725805"/>
          <wp:effectExtent l="0" t="0" r="6350" b="0"/>
          <wp:wrapTight wrapText="bothSides">
            <wp:wrapPolygon edited="0">
              <wp:start x="0" y="0"/>
              <wp:lineTo x="0" y="20976"/>
              <wp:lineTo x="21564" y="20976"/>
              <wp:lineTo x="21564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F6A23" w14:textId="77777777" w:rsidR="00B33118" w:rsidRDefault="00B33118">
      <w:r>
        <w:separator/>
      </w:r>
    </w:p>
  </w:footnote>
  <w:footnote w:type="continuationSeparator" w:id="0">
    <w:p w14:paraId="3EB5A27B" w14:textId="77777777" w:rsidR="00B33118" w:rsidRDefault="00B3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4CA9" w14:textId="77777777" w:rsidR="00F7263B" w:rsidRDefault="00A12081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753EB301" wp14:editId="016620FB">
          <wp:simplePos x="0" y="0"/>
          <wp:positionH relativeFrom="column">
            <wp:posOffset>-1068070</wp:posOffset>
          </wp:positionH>
          <wp:positionV relativeFrom="paragraph">
            <wp:posOffset>-469265</wp:posOffset>
          </wp:positionV>
          <wp:extent cx="7618095" cy="1181100"/>
          <wp:effectExtent l="0" t="0" r="1905" b="0"/>
          <wp:wrapTight wrapText="bothSides">
            <wp:wrapPolygon edited="0">
              <wp:start x="0" y="0"/>
              <wp:lineTo x="0" y="21252"/>
              <wp:lineTo x="21551" y="21252"/>
              <wp:lineTo x="21551" y="0"/>
              <wp:lineTo x="0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80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inline distT="0" distB="0" distL="0" distR="0" wp14:anchorId="460BFB26" wp14:editId="54AEC2F6">
              <wp:extent cx="304800" cy="304800"/>
              <wp:effectExtent l="0" t="0" r="0" b="0"/>
              <wp:docPr id="1544977240" name="AutoShap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1F522C1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A2DD5"/>
    <w:multiLevelType w:val="hybridMultilevel"/>
    <w:tmpl w:val="E19CA3B6"/>
    <w:lvl w:ilvl="0" w:tplc="713ED3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4A67"/>
    <w:multiLevelType w:val="hybridMultilevel"/>
    <w:tmpl w:val="CE02B3B8"/>
    <w:lvl w:ilvl="0" w:tplc="142C3092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89" w:hanging="360"/>
      </w:pPr>
    </w:lvl>
    <w:lvl w:ilvl="2" w:tplc="0416001B" w:tentative="1">
      <w:start w:val="1"/>
      <w:numFmt w:val="lowerRoman"/>
      <w:lvlText w:val="%3."/>
      <w:lvlJc w:val="right"/>
      <w:pPr>
        <w:ind w:left="2609" w:hanging="180"/>
      </w:pPr>
    </w:lvl>
    <w:lvl w:ilvl="3" w:tplc="0416000F" w:tentative="1">
      <w:start w:val="1"/>
      <w:numFmt w:val="decimal"/>
      <w:lvlText w:val="%4."/>
      <w:lvlJc w:val="left"/>
      <w:pPr>
        <w:ind w:left="3329" w:hanging="360"/>
      </w:pPr>
    </w:lvl>
    <w:lvl w:ilvl="4" w:tplc="04160019" w:tentative="1">
      <w:start w:val="1"/>
      <w:numFmt w:val="lowerLetter"/>
      <w:lvlText w:val="%5."/>
      <w:lvlJc w:val="left"/>
      <w:pPr>
        <w:ind w:left="4049" w:hanging="360"/>
      </w:pPr>
    </w:lvl>
    <w:lvl w:ilvl="5" w:tplc="0416001B" w:tentative="1">
      <w:start w:val="1"/>
      <w:numFmt w:val="lowerRoman"/>
      <w:lvlText w:val="%6."/>
      <w:lvlJc w:val="right"/>
      <w:pPr>
        <w:ind w:left="4769" w:hanging="180"/>
      </w:pPr>
    </w:lvl>
    <w:lvl w:ilvl="6" w:tplc="0416000F" w:tentative="1">
      <w:start w:val="1"/>
      <w:numFmt w:val="decimal"/>
      <w:lvlText w:val="%7."/>
      <w:lvlJc w:val="left"/>
      <w:pPr>
        <w:ind w:left="5489" w:hanging="360"/>
      </w:pPr>
    </w:lvl>
    <w:lvl w:ilvl="7" w:tplc="04160019" w:tentative="1">
      <w:start w:val="1"/>
      <w:numFmt w:val="lowerLetter"/>
      <w:lvlText w:val="%8."/>
      <w:lvlJc w:val="left"/>
      <w:pPr>
        <w:ind w:left="6209" w:hanging="360"/>
      </w:pPr>
    </w:lvl>
    <w:lvl w:ilvl="8" w:tplc="0416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" w15:restartNumberingAfterBreak="0">
    <w:nsid w:val="61CF0556"/>
    <w:multiLevelType w:val="hybridMultilevel"/>
    <w:tmpl w:val="D34EDB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42"/>
    <w:rsid w:val="000328F7"/>
    <w:rsid w:val="000C4C94"/>
    <w:rsid w:val="000E0ECE"/>
    <w:rsid w:val="00163EE9"/>
    <w:rsid w:val="001A2B42"/>
    <w:rsid w:val="001D616A"/>
    <w:rsid w:val="00272A1F"/>
    <w:rsid w:val="00297B86"/>
    <w:rsid w:val="0033398D"/>
    <w:rsid w:val="003556DF"/>
    <w:rsid w:val="003610C2"/>
    <w:rsid w:val="00393A56"/>
    <w:rsid w:val="003D5F7F"/>
    <w:rsid w:val="00400054"/>
    <w:rsid w:val="00480CC8"/>
    <w:rsid w:val="004B2463"/>
    <w:rsid w:val="004E51B8"/>
    <w:rsid w:val="005B15B6"/>
    <w:rsid w:val="005F4C1F"/>
    <w:rsid w:val="006038E7"/>
    <w:rsid w:val="00622B0B"/>
    <w:rsid w:val="00625E64"/>
    <w:rsid w:val="00651DFE"/>
    <w:rsid w:val="006665ED"/>
    <w:rsid w:val="006C7EB0"/>
    <w:rsid w:val="006E587C"/>
    <w:rsid w:val="006E5BC5"/>
    <w:rsid w:val="006E668B"/>
    <w:rsid w:val="00747AA6"/>
    <w:rsid w:val="00776582"/>
    <w:rsid w:val="00796A64"/>
    <w:rsid w:val="007E6BBD"/>
    <w:rsid w:val="0080056E"/>
    <w:rsid w:val="008D724F"/>
    <w:rsid w:val="00916E93"/>
    <w:rsid w:val="009327DD"/>
    <w:rsid w:val="00953B48"/>
    <w:rsid w:val="0097568F"/>
    <w:rsid w:val="009B55FB"/>
    <w:rsid w:val="009D6D16"/>
    <w:rsid w:val="00A12081"/>
    <w:rsid w:val="00A868E5"/>
    <w:rsid w:val="00AC765B"/>
    <w:rsid w:val="00AD46D5"/>
    <w:rsid w:val="00AD5CCD"/>
    <w:rsid w:val="00AF4B98"/>
    <w:rsid w:val="00B03651"/>
    <w:rsid w:val="00B2335D"/>
    <w:rsid w:val="00B33118"/>
    <w:rsid w:val="00B62DBD"/>
    <w:rsid w:val="00B76DAA"/>
    <w:rsid w:val="00BA4E82"/>
    <w:rsid w:val="00BF6D03"/>
    <w:rsid w:val="00C1232C"/>
    <w:rsid w:val="00C340EB"/>
    <w:rsid w:val="00C55FB9"/>
    <w:rsid w:val="00C66BFA"/>
    <w:rsid w:val="00D62D87"/>
    <w:rsid w:val="00D815E2"/>
    <w:rsid w:val="00D90B07"/>
    <w:rsid w:val="00DB29B5"/>
    <w:rsid w:val="00DD1B3F"/>
    <w:rsid w:val="00E55D2F"/>
    <w:rsid w:val="00E5677D"/>
    <w:rsid w:val="00E628B8"/>
    <w:rsid w:val="00E630BF"/>
    <w:rsid w:val="00E8177C"/>
    <w:rsid w:val="00ED2EB7"/>
    <w:rsid w:val="00F60960"/>
    <w:rsid w:val="00F62152"/>
    <w:rsid w:val="00F65D07"/>
    <w:rsid w:val="00F7263B"/>
    <w:rsid w:val="00FA00AC"/>
    <w:rsid w:val="00F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8D0B5"/>
  <w15:chartTrackingRefBased/>
  <w15:docId w15:val="{E038A2D4-A89A-44C7-8595-1BAA9F3C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B4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A2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B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B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B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B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B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B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B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B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B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B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B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B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B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B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B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B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2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2B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B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2B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B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B4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A2B4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A2B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B4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A2B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B42"/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1A2B4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A2B42"/>
    <w:rPr>
      <w:rFonts w:ascii="Arial MT" w:eastAsia="Arial MT" w:hAnsi="Arial MT" w:cs="Arial MT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D815E2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815E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55FB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55FB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9B55FB"/>
    <w:rPr>
      <w:vertAlign w:val="superscript"/>
    </w:rPr>
  </w:style>
  <w:style w:type="table" w:styleId="Tabelacomgrade">
    <w:name w:val="Table Grid"/>
    <w:basedOn w:val="Tabelanormal"/>
    <w:uiPriority w:val="39"/>
    <w:rsid w:val="009B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Canan</dc:creator>
  <cp:keywords/>
  <dc:description/>
  <cp:lastModifiedBy>LUCENA PICININI DA SILVA</cp:lastModifiedBy>
  <cp:revision>2</cp:revision>
  <dcterms:created xsi:type="dcterms:W3CDTF">2024-07-18T13:32:00Z</dcterms:created>
  <dcterms:modified xsi:type="dcterms:W3CDTF">2024-07-18T13:32:00Z</dcterms:modified>
</cp:coreProperties>
</file>